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1BDA" w14:textId="71B59DE5" w:rsidR="005E47B6" w:rsidRDefault="00431CDD">
      <w:pPr>
        <w:tabs>
          <w:tab w:val="right" w:pos="10260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1BB3E1CA" wp14:editId="5EE9BD0D">
                <wp:simplePos x="0" y="0"/>
                <wp:positionH relativeFrom="margin">
                  <wp:posOffset>1769745</wp:posOffset>
                </wp:positionH>
                <wp:positionV relativeFrom="margin">
                  <wp:posOffset>-76200</wp:posOffset>
                </wp:positionV>
                <wp:extent cx="3258820" cy="21494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8820" cy="214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23781D" w14:textId="77777777" w:rsidR="005E47B6" w:rsidRDefault="00431C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7F8B1" wp14:editId="477C99B5">
                                  <wp:extent cx="3257550" cy="2143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-304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0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3E1CA" id="Rectangle 2" o:spid="_x0000_s1026" style="position:absolute;left:0;text-align:left;margin-left:139.35pt;margin-top:-6pt;width:256.6pt;height:16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3T1AEAAJYDAAAOAAAAZHJzL2Uyb0RvYy54bWysU9tu1DAQfUfiHyy/s9mEFpZos1XVqgip&#10;UKTSD3AcO7FIPGbs3WT5esbOZgv0DfFijS9zZs6Z4+3VNPTsoNAbsBXPV2vOlJXQGNtW/Onb3ZsN&#10;Zz4I24gerKr4UXl+tXv9aju6UhXQQd8oZARifTm6inchuDLLvOzUIPwKnLJ0qQEHEWiLbdagGAl9&#10;6LNivX6XjYCNQ5DKezq9nS/5LuFrrWR40NqrwPqKU28hrZjWOq7ZbivKFoXrjDy1If6hi0EYS0XP&#10;ULciCLZH8wJqMBLBgw4rCUMGWhupEgdik6//YvPYCacSFxLHu7NM/v/Byi+HR/cVY+ve3YP87pmF&#10;m07YVl0jwtgp0VC5PAqVjc6X54S48ZTK6vEzNDRasQ+QNJg0DhGQ2LEpSX08S62mwCQdvi0uN5uC&#10;JiLprsgvPly8v0w1RLmkO/Tho4KBxaDiSLNM8OJw70NsR5TLk1jNwp3p+zTP3v5xQA/nE5UMccpe&#10;+o9W8WWY6olyY1hDcyRaCLNZyNwUdIA/ORvJKBX3P/YCFWf9J0vSRFctAS5BvQTCSkqteOBsDm/C&#10;7L69Q9N2hJwnUhauST5tErHnLk6i0/AT35NRo7t+36dXz99p9wsAAP//AwBQSwMEFAAGAAgAAAAh&#10;AF8QKBfgAAAACwEAAA8AAABkcnMvZG93bnJldi54bWxMj0FPhDAQhe8m/odmTLztFjDCwjJszBIS&#10;venqZW9dWoFIW6BdwH/veNLjZL689738sOqezWpynTUI4TYApkxtZWcahI/3arMD5rwwUvTWKIRv&#10;5eBQ3N7kIpN2MW9qPvmGUYhxmUBovR8yzl3dKi3c1g7K0O/TTlp4OqeGy0ksFK57HgVBzLXoDDW0&#10;YlDHVtVfp6tGKKdYVu74XFbpeSn9y+s4j3xEvL9bn/bAvFr9Hwy/+qQOBTld7NVIx3qEKNklhCJs&#10;wohGEZGkYQrsgvAQxY/Ai5z/31D8AAAA//8DAFBLAQItABQABgAIAAAAIQC2gziS/gAAAOEBAAAT&#10;AAAAAAAAAAAAAAAAAAAAAABbQ29udGVudF9UeXBlc10ueG1sUEsBAi0AFAAGAAgAAAAhADj9If/W&#10;AAAAlAEAAAsAAAAAAAAAAAAAAAAALwEAAF9yZWxzLy5yZWxzUEsBAi0AFAAGAAgAAAAhAN1cvdPU&#10;AQAAlgMAAA4AAAAAAAAAAAAAAAAALgIAAGRycy9lMm9Eb2MueG1sUEsBAi0AFAAGAAgAAAAhAF8Q&#10;KBfgAAAACwEAAA8AAAAAAAAAAAAAAAAALgQAAGRycy9kb3ducmV2LnhtbFBLBQYAAAAABAAEAPMA&#10;AAA7BQAAAAA=&#10;" o:allowincell="f" filled="f" stroked="f" strokeweight="0">
                <v:textbox inset="0,0,0,0">
                  <w:txbxContent>
                    <w:p w14:paraId="3C23781D" w14:textId="77777777" w:rsidR="005E47B6" w:rsidRDefault="00431CDD">
                      <w:r>
                        <w:rPr>
                          <w:noProof/>
                        </w:rPr>
                        <w:drawing>
                          <wp:inline distT="0" distB="0" distL="0" distR="0" wp14:anchorId="7B27F8B1" wp14:editId="477C99B5">
                            <wp:extent cx="3257550" cy="2143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-304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0" cy="214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5E47B6">
        <w:rPr>
          <w:rFonts w:ascii="Arial" w:hAnsi="Arial" w:cs="Arial"/>
          <w:b/>
          <w:bCs/>
          <w:i/>
          <w:iCs/>
          <w:sz w:val="22"/>
          <w:szCs w:val="22"/>
        </w:rPr>
        <w:t>Millard County</w:t>
      </w:r>
      <w:r w:rsidR="008F6F13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</w:t>
      </w:r>
      <w:r w:rsidR="00687BD2">
        <w:rPr>
          <w:rFonts w:ascii="Arial" w:hAnsi="Arial" w:cs="Arial"/>
          <w:b/>
          <w:bCs/>
          <w:i/>
          <w:iCs/>
          <w:sz w:val="22"/>
          <w:szCs w:val="22"/>
        </w:rPr>
        <w:t>Lora Fitch</w:t>
      </w:r>
      <w:r w:rsidR="00A71F91">
        <w:rPr>
          <w:rFonts w:ascii="Arial" w:hAnsi="Arial" w:cs="Arial"/>
          <w:i/>
          <w:iCs/>
          <w:sz w:val="20"/>
          <w:szCs w:val="20"/>
        </w:rPr>
        <w:tab/>
      </w:r>
      <w:r w:rsidR="00A71F91">
        <w:rPr>
          <w:rFonts w:ascii="Arial" w:hAnsi="Arial" w:cs="Arial"/>
          <w:b/>
          <w:bCs/>
          <w:i/>
          <w:iCs/>
          <w:sz w:val="22"/>
          <w:szCs w:val="22"/>
        </w:rPr>
        <w:t xml:space="preserve">   </w:t>
      </w:r>
    </w:p>
    <w:p w14:paraId="2A6AED50" w14:textId="1263C49C" w:rsidR="0053540C" w:rsidRDefault="005E47B6">
      <w:pPr>
        <w:tabs>
          <w:tab w:val="right" w:pos="10260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50 South Main Street</w:t>
      </w:r>
      <w:r w:rsidR="008F6F1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Millard County </w:t>
      </w:r>
      <w:r w:rsidR="00A71F91">
        <w:rPr>
          <w:rFonts w:ascii="Arial" w:hAnsi="Arial" w:cs="Arial"/>
          <w:i/>
          <w:iCs/>
          <w:sz w:val="20"/>
          <w:szCs w:val="20"/>
        </w:rPr>
        <w:t>Assessor</w:t>
      </w:r>
    </w:p>
    <w:p w14:paraId="64670D42" w14:textId="072FF758" w:rsidR="005E47B6" w:rsidRDefault="005E47B6">
      <w:pPr>
        <w:tabs>
          <w:tab w:val="right" w:pos="10260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Fillmore, Utah 84631-5504</w:t>
      </w:r>
      <w:r w:rsidR="00687BD2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</w:t>
      </w:r>
      <w:proofErr w:type="gramStart"/>
      <w:r w:rsidR="00687BD2">
        <w:rPr>
          <w:rFonts w:ascii="Arial" w:hAnsi="Arial" w:cs="Arial"/>
          <w:i/>
          <w:iCs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sz w:val="20"/>
          <w:szCs w:val="20"/>
        </w:rPr>
        <w:t>(</w:t>
      </w:r>
      <w:proofErr w:type="gramEnd"/>
      <w:r>
        <w:rPr>
          <w:rFonts w:ascii="Arial" w:hAnsi="Arial" w:cs="Arial"/>
          <w:i/>
          <w:iCs/>
          <w:sz w:val="20"/>
          <w:szCs w:val="20"/>
        </w:rPr>
        <w:t>435) 743-</w:t>
      </w:r>
      <w:r w:rsidR="00687BD2">
        <w:rPr>
          <w:rFonts w:ascii="Arial" w:hAnsi="Arial" w:cs="Arial"/>
          <w:i/>
          <w:iCs/>
          <w:sz w:val="20"/>
          <w:szCs w:val="20"/>
        </w:rPr>
        <w:t xml:space="preserve">5719  </w:t>
      </w:r>
    </w:p>
    <w:p w14:paraId="38CAB204" w14:textId="0B79BA47" w:rsidR="008F6F13" w:rsidRDefault="008F6F13" w:rsidP="00687BD2">
      <w:pPr>
        <w:tabs>
          <w:tab w:val="right" w:pos="10260"/>
        </w:tabs>
        <w:ind w:left="720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="00687BD2">
        <w:rPr>
          <w:rFonts w:ascii="Arial" w:hAnsi="Arial" w:cs="Arial"/>
          <w:i/>
          <w:iCs/>
          <w:sz w:val="20"/>
          <w:szCs w:val="20"/>
        </w:rPr>
        <w:t>lfitch@co.millard.ut.us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14:paraId="76DC4527" w14:textId="77777777" w:rsidR="0053540C" w:rsidRDefault="0053540C">
      <w:pPr>
        <w:tabs>
          <w:tab w:val="right" w:pos="1026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7265FA69" w14:textId="77777777" w:rsidR="005E47B6" w:rsidRDefault="005E47B6">
      <w:pPr>
        <w:tabs>
          <w:tab w:val="right" w:pos="10260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4D4478D8" w14:textId="77777777" w:rsidR="005E47B6" w:rsidRDefault="005E47B6">
      <w:pPr>
        <w:tabs>
          <w:tab w:val="right" w:pos="10260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56DCC31F" w14:textId="77777777" w:rsidR="005E47B6" w:rsidRDefault="005E47B6">
      <w:pPr>
        <w:tabs>
          <w:tab w:val="right" w:pos="10260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6E364F21" w14:textId="77777777" w:rsidR="005E47B6" w:rsidRDefault="005E47B6">
      <w:pPr>
        <w:tabs>
          <w:tab w:val="left" w:pos="-36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0"/>
          <w:szCs w:val="20"/>
        </w:rPr>
      </w:pPr>
    </w:p>
    <w:p w14:paraId="70FBE48A" w14:textId="19DC4822" w:rsidR="00EA033D" w:rsidRDefault="00EA033D" w:rsidP="00EA033D">
      <w:pPr>
        <w:widowControl/>
        <w:rPr>
          <w:rFonts w:ascii="Arial" w:hAnsi="Arial" w:cs="Arial"/>
          <w:sz w:val="20"/>
          <w:szCs w:val="20"/>
        </w:rPr>
      </w:pPr>
    </w:p>
    <w:p w14:paraId="32C7EFA2" w14:textId="77777777" w:rsidR="00EA033D" w:rsidRPr="00EA033D" w:rsidRDefault="00EA033D" w:rsidP="00EA033D">
      <w:pPr>
        <w:widowControl/>
        <w:rPr>
          <w:rFonts w:ascii="Arial" w:hAnsi="Arial" w:cs="Arial"/>
          <w:sz w:val="20"/>
          <w:szCs w:val="20"/>
        </w:rPr>
      </w:pPr>
    </w:p>
    <w:p w14:paraId="6F2420E7" w14:textId="696437C1" w:rsidR="00E36AC9" w:rsidRPr="00B1554C" w:rsidRDefault="00E36AC9" w:rsidP="00B1554C">
      <w:pPr>
        <w:pStyle w:val="NoSpacing"/>
        <w:jc w:val="center"/>
      </w:pPr>
      <w:r w:rsidRPr="00B1554C">
        <w:t xml:space="preserve">Millard County is accepting applications for a Full-Time Real Property Appraiser </w:t>
      </w:r>
      <w:r w:rsidR="00A62B52">
        <w:t>T</w:t>
      </w:r>
      <w:r w:rsidRPr="00B1554C">
        <w:t>rainee/Deputy</w:t>
      </w:r>
    </w:p>
    <w:p w14:paraId="30D72A78" w14:textId="2D6F8532" w:rsidR="00E36AC9" w:rsidRPr="00B1554C" w:rsidRDefault="00E36AC9" w:rsidP="00B1554C">
      <w:pPr>
        <w:pStyle w:val="NoSpacing"/>
        <w:jc w:val="center"/>
      </w:pPr>
      <w:r w:rsidRPr="00B1554C">
        <w:t>Assessor. Those interested in applying for this position are required to submit an application and resume with references to Millard County</w:t>
      </w:r>
      <w:r w:rsidR="00B1554C">
        <w:t xml:space="preserve"> </w:t>
      </w:r>
      <w:r w:rsidRPr="00B1554C">
        <w:t>Assessor</w:t>
      </w:r>
      <w:r w:rsidR="00B1554C">
        <w:t>’</w:t>
      </w:r>
      <w:r w:rsidRPr="00B1554C">
        <w:t xml:space="preserve">s Office by </w:t>
      </w:r>
      <w:r w:rsidR="00BB5EF1">
        <w:t>September 7</w:t>
      </w:r>
      <w:r w:rsidR="00BB5EF1" w:rsidRPr="00BB5EF1">
        <w:rPr>
          <w:vertAlign w:val="superscript"/>
        </w:rPr>
        <w:t>th</w:t>
      </w:r>
      <w:r w:rsidR="00BB5EF1">
        <w:t xml:space="preserve"> 2025</w:t>
      </w:r>
      <w:r w:rsidRPr="00B1554C">
        <w:t>.</w:t>
      </w:r>
      <w:r w:rsidR="00B1554C">
        <w:t xml:space="preserve"> </w:t>
      </w:r>
      <w:r w:rsidRPr="00B1554C">
        <w:t>Applications are available at the Assessor</w:t>
      </w:r>
      <w:r w:rsidR="00B1554C">
        <w:t>’</w:t>
      </w:r>
      <w:r w:rsidRPr="00B1554C">
        <w:t>s Office, 50 South Main, Fillmore, or online at</w:t>
      </w:r>
      <w:r w:rsidR="00B1554C">
        <w:t xml:space="preserve"> </w:t>
      </w:r>
      <w:hyperlink r:id="rId6" w:history="1">
        <w:r w:rsidR="00B1554C" w:rsidRPr="001E0605">
          <w:rPr>
            <w:rStyle w:val="Hyperlink"/>
            <w:rFonts w:ascii="ArialMT" w:eastAsia="ArialMT" w:hAnsiTheme="minorHAnsi" w:cs="ArialMT"/>
            <w:sz w:val="22"/>
            <w:szCs w:val="22"/>
          </w:rPr>
          <w:t>www.millardcounty.org</w:t>
        </w:r>
      </w:hyperlink>
      <w:r>
        <w:rPr>
          <w:rFonts w:eastAsia="ArialMT"/>
        </w:rPr>
        <w:t>.</w:t>
      </w:r>
    </w:p>
    <w:p w14:paraId="18D288E7" w14:textId="77777777" w:rsidR="00B1554C" w:rsidRDefault="00B1554C" w:rsidP="00B1554C">
      <w:pPr>
        <w:pStyle w:val="NoSpacing"/>
        <w:rPr>
          <w:rFonts w:ascii="Arial-BoldMT" w:eastAsia="ArialMT" w:hAnsi="Arial-BoldMT" w:cs="Arial-BoldMT"/>
          <w:b/>
          <w:bCs/>
        </w:rPr>
      </w:pPr>
    </w:p>
    <w:p w14:paraId="4984F989" w14:textId="4D24D37F" w:rsidR="00E36AC9" w:rsidRDefault="00E36AC9" w:rsidP="00B1554C">
      <w:pPr>
        <w:pStyle w:val="NoSpacing"/>
        <w:rPr>
          <w:rFonts w:ascii="Arial-BoldMT" w:eastAsia="ArialMT" w:hAnsi="Arial-BoldMT" w:cs="Arial-BoldMT"/>
          <w:b/>
          <w:bCs/>
        </w:rPr>
      </w:pPr>
      <w:r>
        <w:rPr>
          <w:rFonts w:ascii="Arial-BoldMT" w:eastAsia="ArialMT" w:hAnsi="Arial-BoldMT" w:cs="Arial-BoldMT"/>
          <w:b/>
          <w:bCs/>
        </w:rPr>
        <w:t>JOB DESCRIPTION</w:t>
      </w:r>
    </w:p>
    <w:p w14:paraId="0D65E29A" w14:textId="77E8DC80" w:rsidR="00E36AC9" w:rsidRDefault="00E36AC9" w:rsidP="00B1554C">
      <w:pPr>
        <w:pStyle w:val="NoSpacing"/>
        <w:rPr>
          <w:rFonts w:eastAsia="ArialMT"/>
        </w:rPr>
      </w:pPr>
      <w:r>
        <w:rPr>
          <w:rFonts w:eastAsia="ArialMT"/>
        </w:rPr>
        <w:t>Will assist the Assessor in gathering field data from improved and vacant property, data entry,</w:t>
      </w:r>
    </w:p>
    <w:p w14:paraId="18B2DBA8" w14:textId="08BCB7B9" w:rsidR="00E36AC9" w:rsidRDefault="00E36AC9" w:rsidP="00B1554C">
      <w:pPr>
        <w:pStyle w:val="NoSpacing"/>
        <w:rPr>
          <w:rFonts w:eastAsia="ArialMT"/>
        </w:rPr>
      </w:pPr>
      <w:r>
        <w:rPr>
          <w:rFonts w:eastAsia="ArialMT"/>
        </w:rPr>
        <w:t>and computation of market value. License is not required, but preference may be given to</w:t>
      </w:r>
    </w:p>
    <w:p w14:paraId="20A167DE" w14:textId="77777777" w:rsidR="00E36AC9" w:rsidRDefault="00E36AC9" w:rsidP="00B1554C">
      <w:pPr>
        <w:pStyle w:val="NoSpacing"/>
        <w:rPr>
          <w:rFonts w:eastAsia="ArialMT"/>
        </w:rPr>
      </w:pPr>
      <w:r>
        <w:rPr>
          <w:rFonts w:eastAsia="ArialMT"/>
        </w:rPr>
        <w:t>applicants who currently possess a current Residential Appraiser license in good standing with</w:t>
      </w:r>
    </w:p>
    <w:p w14:paraId="6B1A6D16" w14:textId="77777777" w:rsidR="00E36AC9" w:rsidRDefault="00E36AC9" w:rsidP="00B1554C">
      <w:pPr>
        <w:pStyle w:val="NoSpacing"/>
        <w:rPr>
          <w:rFonts w:eastAsia="ArialMT"/>
        </w:rPr>
      </w:pPr>
      <w:r>
        <w:rPr>
          <w:rFonts w:eastAsia="ArialMT"/>
        </w:rPr>
        <w:t>the Utah Division of Real Estate.</w:t>
      </w:r>
    </w:p>
    <w:p w14:paraId="68824145" w14:textId="77777777" w:rsidR="00B1554C" w:rsidRDefault="00B1554C" w:rsidP="00B1554C">
      <w:pPr>
        <w:pStyle w:val="NoSpacing"/>
        <w:rPr>
          <w:rFonts w:ascii="Arial-BoldMT" w:eastAsia="ArialMT" w:hAnsi="Arial-BoldMT" w:cs="Arial-BoldMT"/>
          <w:b/>
          <w:bCs/>
        </w:rPr>
      </w:pPr>
    </w:p>
    <w:p w14:paraId="6FD7E318" w14:textId="5FDAD09F" w:rsidR="00E36AC9" w:rsidRDefault="00E36AC9" w:rsidP="00B1554C">
      <w:pPr>
        <w:pStyle w:val="NoSpacing"/>
        <w:rPr>
          <w:rFonts w:ascii="Arial-BoldMT" w:eastAsia="ArialMT" w:hAnsi="Arial-BoldMT" w:cs="Arial-BoldMT"/>
          <w:b/>
          <w:bCs/>
        </w:rPr>
      </w:pPr>
      <w:r>
        <w:rPr>
          <w:rFonts w:ascii="Arial-BoldMT" w:eastAsia="ArialMT" w:hAnsi="Arial-BoldMT" w:cs="Arial-BoldMT"/>
          <w:b/>
          <w:bCs/>
        </w:rPr>
        <w:t>APPLICANTS NOT CURRENTLY A LICENSED APPRAISER</w:t>
      </w:r>
    </w:p>
    <w:p w14:paraId="029A49AA" w14:textId="57F169E2" w:rsidR="00E36AC9" w:rsidRDefault="00E36AC9" w:rsidP="00B1554C">
      <w:pPr>
        <w:pStyle w:val="NoSpacing"/>
        <w:rPr>
          <w:rFonts w:eastAsia="ArialMT"/>
        </w:rPr>
      </w:pPr>
      <w:r>
        <w:rPr>
          <w:rFonts w:eastAsia="ArialMT"/>
        </w:rPr>
        <w:t>Must adhere to a prescribed schedule of education and experience to become a licensed appraiser with the Division of Real Estate. Education and experience to become licensed will be provided by the County.</w:t>
      </w:r>
    </w:p>
    <w:p w14:paraId="1EF1E16F" w14:textId="77777777" w:rsidR="00B1554C" w:rsidRDefault="00B1554C" w:rsidP="00B1554C">
      <w:pPr>
        <w:pStyle w:val="NoSpacing"/>
        <w:rPr>
          <w:rFonts w:ascii="Arial-BoldMT" w:eastAsia="ArialMT" w:hAnsi="Arial-BoldMT" w:cs="Arial-BoldMT"/>
          <w:b/>
          <w:bCs/>
        </w:rPr>
      </w:pPr>
    </w:p>
    <w:p w14:paraId="7408B66D" w14:textId="680EE847" w:rsidR="00E36AC9" w:rsidRDefault="00E36AC9" w:rsidP="00B1554C">
      <w:pPr>
        <w:pStyle w:val="NoSpacing"/>
        <w:rPr>
          <w:rFonts w:ascii="Arial-BoldMT" w:eastAsia="ArialMT" w:hAnsi="Arial-BoldMT" w:cs="Arial-BoldMT"/>
          <w:b/>
          <w:bCs/>
        </w:rPr>
      </w:pPr>
      <w:r>
        <w:rPr>
          <w:rFonts w:ascii="Arial-BoldMT" w:eastAsia="ArialMT" w:hAnsi="Arial-BoldMT" w:cs="Arial-BoldMT"/>
          <w:b/>
          <w:bCs/>
        </w:rPr>
        <w:t>EDUCATION REQUIREMENTS</w:t>
      </w:r>
    </w:p>
    <w:p w14:paraId="59327A4B" w14:textId="58E749C2" w:rsidR="00E36AC9" w:rsidRPr="00B1554C" w:rsidRDefault="00E36AC9" w:rsidP="00B1554C">
      <w:pPr>
        <w:pStyle w:val="NoSpacing"/>
      </w:pPr>
      <w:r w:rsidRPr="00B1554C">
        <w:t xml:space="preserve">Applicants </w:t>
      </w:r>
      <w:r w:rsidR="0003322F">
        <w:t xml:space="preserve">do not have to have a </w:t>
      </w:r>
      <w:r w:rsidRPr="00B1554C">
        <w:t>degree from an accredited college or</w:t>
      </w:r>
      <w:r w:rsidR="00B1554C">
        <w:t xml:space="preserve"> </w:t>
      </w:r>
      <w:r w:rsidRPr="00B1554C">
        <w:t>university</w:t>
      </w:r>
      <w:r w:rsidR="0003322F">
        <w:t xml:space="preserve"> but, preference may be given to them.</w:t>
      </w:r>
    </w:p>
    <w:p w14:paraId="29680044" w14:textId="77777777" w:rsidR="00B1554C" w:rsidRDefault="00B1554C" w:rsidP="00B1554C">
      <w:pPr>
        <w:pStyle w:val="NoSpacing"/>
        <w:rPr>
          <w:rFonts w:ascii="Arial-BoldMT" w:eastAsia="ArialMT" w:hAnsi="Arial-BoldMT" w:cs="Arial-BoldMT"/>
          <w:b/>
          <w:bCs/>
        </w:rPr>
      </w:pPr>
    </w:p>
    <w:p w14:paraId="008A78AD" w14:textId="291F1B53" w:rsidR="00E36AC9" w:rsidRDefault="00E36AC9" w:rsidP="00B1554C">
      <w:pPr>
        <w:pStyle w:val="NoSpacing"/>
        <w:rPr>
          <w:rFonts w:ascii="Arial-BoldMT" w:eastAsia="ArialMT" w:hAnsi="Arial-BoldMT" w:cs="Arial-BoldMT"/>
          <w:b/>
          <w:bCs/>
        </w:rPr>
      </w:pPr>
      <w:r>
        <w:rPr>
          <w:rFonts w:ascii="Arial-BoldMT" w:eastAsia="ArialMT" w:hAnsi="Arial-BoldMT" w:cs="Arial-BoldMT"/>
          <w:b/>
          <w:bCs/>
        </w:rPr>
        <w:t xml:space="preserve">REQUIRED KNOWLEDGE, </w:t>
      </w:r>
      <w:r w:rsidR="00B1554C">
        <w:rPr>
          <w:rFonts w:ascii="Arial-BoldMT" w:eastAsia="ArialMT" w:hAnsi="Arial-BoldMT" w:cs="Arial-BoldMT"/>
          <w:b/>
          <w:bCs/>
        </w:rPr>
        <w:t>SKILLS,</w:t>
      </w:r>
      <w:r>
        <w:rPr>
          <w:rFonts w:ascii="Arial-BoldMT" w:eastAsia="ArialMT" w:hAnsi="Arial-BoldMT" w:cs="Arial-BoldMT"/>
          <w:b/>
          <w:bCs/>
        </w:rPr>
        <w:t xml:space="preserve"> AND ABILITIES</w:t>
      </w:r>
    </w:p>
    <w:p w14:paraId="63C2BC9F" w14:textId="0C832E7E" w:rsidR="00E36AC9" w:rsidRDefault="00E36AC9" w:rsidP="00B1554C">
      <w:pPr>
        <w:pStyle w:val="NoSpacing"/>
        <w:rPr>
          <w:rFonts w:eastAsia="ArialMT"/>
        </w:rPr>
      </w:pPr>
      <w:r>
        <w:rPr>
          <w:rFonts w:eastAsia="ArialMT"/>
        </w:rPr>
        <w:t>Applicants should possess knowledge of generally accepted office procedures</w:t>
      </w:r>
      <w:r w:rsidR="00B1554C">
        <w:rPr>
          <w:rFonts w:eastAsia="ArialMT"/>
        </w:rPr>
        <w:t>, a</w:t>
      </w:r>
      <w:r>
        <w:rPr>
          <w:rFonts w:eastAsia="ArialMT"/>
        </w:rPr>
        <w:t>bility to operate</w:t>
      </w:r>
      <w:r w:rsidR="00B1554C">
        <w:rPr>
          <w:rFonts w:eastAsia="ArialMT"/>
        </w:rPr>
        <w:t xml:space="preserve"> </w:t>
      </w:r>
      <w:r>
        <w:rPr>
          <w:rFonts w:eastAsia="ArialMT"/>
        </w:rPr>
        <w:t xml:space="preserve">standard office equipment, possess skills of English composition. </w:t>
      </w:r>
      <w:r w:rsidR="00B1554C">
        <w:rPr>
          <w:rFonts w:eastAsia="ArialMT"/>
        </w:rPr>
        <w:t>They s</w:t>
      </w:r>
      <w:r>
        <w:rPr>
          <w:rFonts w:eastAsia="ArialMT"/>
        </w:rPr>
        <w:t>hould possess computer</w:t>
      </w:r>
      <w:r w:rsidR="00B1554C">
        <w:rPr>
          <w:rFonts w:eastAsia="ArialMT"/>
        </w:rPr>
        <w:t xml:space="preserve"> </w:t>
      </w:r>
      <w:r>
        <w:rPr>
          <w:rFonts w:eastAsia="ArialMT"/>
        </w:rPr>
        <w:t>skills using Microsoft Windows, Word</w:t>
      </w:r>
      <w:r w:rsidR="00B1554C">
        <w:rPr>
          <w:rFonts w:eastAsia="ArialMT"/>
        </w:rPr>
        <w:t>,</w:t>
      </w:r>
      <w:r>
        <w:rPr>
          <w:rFonts w:eastAsia="ArialMT"/>
        </w:rPr>
        <w:t xml:space="preserve"> and Excel programs. </w:t>
      </w:r>
      <w:r w:rsidR="00B1554C">
        <w:rPr>
          <w:rFonts w:eastAsia="ArialMT"/>
        </w:rPr>
        <w:t>They should ha</w:t>
      </w:r>
      <w:r>
        <w:rPr>
          <w:rFonts w:eastAsia="ArialMT"/>
        </w:rPr>
        <w:t>ve a good working relationship</w:t>
      </w:r>
      <w:r w:rsidR="00B1554C">
        <w:rPr>
          <w:rFonts w:eastAsia="ArialMT"/>
        </w:rPr>
        <w:t xml:space="preserve"> </w:t>
      </w:r>
      <w:r>
        <w:rPr>
          <w:rFonts w:eastAsia="ArialMT"/>
        </w:rPr>
        <w:t xml:space="preserve">with co-workers and the public. </w:t>
      </w:r>
      <w:r w:rsidR="00B1554C">
        <w:rPr>
          <w:rFonts w:eastAsia="ArialMT"/>
        </w:rPr>
        <w:t>The ability to</w:t>
      </w:r>
      <w:r>
        <w:rPr>
          <w:rFonts w:eastAsia="ArialMT"/>
        </w:rPr>
        <w:t xml:space="preserve"> work independently</w:t>
      </w:r>
      <w:r w:rsidR="00B1554C">
        <w:rPr>
          <w:rFonts w:eastAsia="ArialMT"/>
        </w:rPr>
        <w:t xml:space="preserve"> and m</w:t>
      </w:r>
      <w:r>
        <w:rPr>
          <w:rFonts w:eastAsia="ArialMT"/>
        </w:rPr>
        <w:t>aintain confidentiality</w:t>
      </w:r>
      <w:r w:rsidR="00B1554C">
        <w:rPr>
          <w:rFonts w:eastAsia="ArialMT"/>
        </w:rPr>
        <w:t xml:space="preserve"> are a must</w:t>
      </w:r>
      <w:r>
        <w:rPr>
          <w:rFonts w:eastAsia="ArialMT"/>
        </w:rPr>
        <w:t>.</w:t>
      </w:r>
    </w:p>
    <w:p w14:paraId="0C87AEF0" w14:textId="717DD1BA" w:rsidR="00E36AC9" w:rsidRDefault="00E36AC9" w:rsidP="00B1554C">
      <w:pPr>
        <w:pStyle w:val="NoSpacing"/>
        <w:rPr>
          <w:rFonts w:eastAsia="ArialMT"/>
        </w:rPr>
      </w:pPr>
      <w:r>
        <w:rPr>
          <w:rFonts w:eastAsia="ArialMT"/>
        </w:rPr>
        <w:t>Applicants must possess a valid State of Utah Driver</w:t>
      </w:r>
      <w:r w:rsidR="00B1554C">
        <w:rPr>
          <w:rFonts w:eastAsia="ArialMT"/>
        </w:rPr>
        <w:t>’</w:t>
      </w:r>
      <w:r>
        <w:rPr>
          <w:rFonts w:eastAsia="ArialMT"/>
        </w:rPr>
        <w:t>s License</w:t>
      </w:r>
      <w:r>
        <w:rPr>
          <w:rFonts w:ascii="Arial-BoldMT" w:eastAsia="ArialMT" w:hAnsi="Arial-BoldMT" w:cs="Arial-BoldMT"/>
          <w:b/>
          <w:bCs/>
        </w:rPr>
        <w:t xml:space="preserve">. </w:t>
      </w:r>
      <w:r>
        <w:rPr>
          <w:rFonts w:eastAsia="ArialMT"/>
        </w:rPr>
        <w:t xml:space="preserve">Some </w:t>
      </w:r>
      <w:proofErr w:type="gramStart"/>
      <w:r>
        <w:rPr>
          <w:rFonts w:eastAsia="ArialMT"/>
        </w:rPr>
        <w:t>travel</w:t>
      </w:r>
      <w:proofErr w:type="gramEnd"/>
      <w:r>
        <w:rPr>
          <w:rFonts w:eastAsia="ArialMT"/>
        </w:rPr>
        <w:t xml:space="preserve"> </w:t>
      </w:r>
      <w:r w:rsidR="00B1554C">
        <w:rPr>
          <w:rFonts w:eastAsia="ArialMT"/>
        </w:rPr>
        <w:t>for</w:t>
      </w:r>
      <w:r>
        <w:rPr>
          <w:rFonts w:eastAsia="ArialMT"/>
        </w:rPr>
        <w:t xml:space="preserve"> training</w:t>
      </w:r>
      <w:r w:rsidR="00B1554C">
        <w:rPr>
          <w:rFonts w:eastAsia="ArialMT"/>
        </w:rPr>
        <w:t xml:space="preserve"> and education</w:t>
      </w:r>
      <w:r>
        <w:rPr>
          <w:rFonts w:eastAsia="ArialMT"/>
        </w:rPr>
        <w:t xml:space="preserve"> is required</w:t>
      </w:r>
      <w:r w:rsidR="00B1554C">
        <w:rPr>
          <w:rFonts w:eastAsia="ArialMT"/>
        </w:rPr>
        <w:t xml:space="preserve"> and may involve being out of the County </w:t>
      </w:r>
      <w:r w:rsidR="00B63472">
        <w:rPr>
          <w:rFonts w:eastAsia="ArialMT"/>
        </w:rPr>
        <w:t>for up to 5 days</w:t>
      </w:r>
      <w:r>
        <w:rPr>
          <w:rFonts w:eastAsia="ArialMT"/>
        </w:rPr>
        <w:t>.</w:t>
      </w:r>
      <w:r w:rsidR="00B1554C">
        <w:rPr>
          <w:rFonts w:eastAsia="ArialMT"/>
        </w:rPr>
        <w:t xml:space="preserve"> </w:t>
      </w:r>
      <w:r>
        <w:rPr>
          <w:rFonts w:eastAsia="ArialMT"/>
        </w:rPr>
        <w:t xml:space="preserve">Wages will depend on qualifications, </w:t>
      </w:r>
      <w:r w:rsidR="00B63472">
        <w:rPr>
          <w:rFonts w:eastAsia="ArialMT"/>
        </w:rPr>
        <w:t>experience,</w:t>
      </w:r>
      <w:r>
        <w:rPr>
          <w:rFonts w:eastAsia="ArialMT"/>
        </w:rPr>
        <w:t xml:space="preserve"> and Millard County Step in Grade Pay Scale.</w:t>
      </w:r>
      <w:r w:rsidR="00B63472">
        <w:rPr>
          <w:rFonts w:eastAsia="ArialMT"/>
        </w:rPr>
        <w:t xml:space="preserve"> </w:t>
      </w:r>
      <w:r>
        <w:rPr>
          <w:rFonts w:eastAsia="ArialMT"/>
        </w:rPr>
        <w:t>Other essential Functions, knowledge, skills and abilities, and working conditions can be</w:t>
      </w:r>
      <w:r w:rsidR="00B63472">
        <w:rPr>
          <w:rFonts w:eastAsia="ArialMT"/>
        </w:rPr>
        <w:t xml:space="preserve"> </w:t>
      </w:r>
      <w:r>
        <w:rPr>
          <w:rFonts w:eastAsia="ArialMT"/>
        </w:rPr>
        <w:t xml:space="preserve">obtained by emailing </w:t>
      </w:r>
      <w:r w:rsidR="00B63472">
        <w:rPr>
          <w:rFonts w:eastAsia="ArialMT"/>
        </w:rPr>
        <w:t>lfitch</w:t>
      </w:r>
      <w:r>
        <w:rPr>
          <w:rFonts w:eastAsia="ArialMT"/>
        </w:rPr>
        <w:t>@co.millard.ut.us or calling 435-743-5719.</w:t>
      </w:r>
    </w:p>
    <w:p w14:paraId="772565D4" w14:textId="77777777" w:rsidR="00B63472" w:rsidRDefault="00B63472" w:rsidP="00B1554C">
      <w:pPr>
        <w:pStyle w:val="NoSpacing"/>
        <w:rPr>
          <w:rFonts w:ascii="Arial-BoldMT" w:eastAsia="ArialMT" w:hAnsi="Arial-BoldMT" w:cs="Arial-BoldMT"/>
          <w:b/>
          <w:bCs/>
        </w:rPr>
      </w:pPr>
    </w:p>
    <w:p w14:paraId="3DF67DFE" w14:textId="02E3C5BC" w:rsidR="00EA033D" w:rsidRPr="00EA033D" w:rsidRDefault="00E36AC9" w:rsidP="00B63472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-BoldMT" w:eastAsia="ArialMT" w:hAnsi="Arial-BoldMT" w:cs="Arial-BoldMT"/>
          <w:b/>
          <w:bCs/>
        </w:rPr>
        <w:t>Millard County is an Equal Opportunity Employer</w:t>
      </w:r>
    </w:p>
    <w:sectPr w:rsidR="00EA033D" w:rsidRPr="00EA033D" w:rsidSect="005E47B6">
      <w:pgSz w:w="12240" w:h="15840"/>
      <w:pgMar w:top="360" w:right="810" w:bottom="302" w:left="1170" w:header="360" w:footer="30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B6"/>
    <w:rsid w:val="0003322F"/>
    <w:rsid w:val="00184411"/>
    <w:rsid w:val="001D7AEC"/>
    <w:rsid w:val="00220B92"/>
    <w:rsid w:val="002346E4"/>
    <w:rsid w:val="003054B2"/>
    <w:rsid w:val="00397166"/>
    <w:rsid w:val="003A5F8F"/>
    <w:rsid w:val="003D6B44"/>
    <w:rsid w:val="003E40E3"/>
    <w:rsid w:val="00431CDD"/>
    <w:rsid w:val="004604D8"/>
    <w:rsid w:val="0053540C"/>
    <w:rsid w:val="005E47B6"/>
    <w:rsid w:val="005E6F78"/>
    <w:rsid w:val="0067721E"/>
    <w:rsid w:val="00687BD2"/>
    <w:rsid w:val="00734D65"/>
    <w:rsid w:val="007A5B92"/>
    <w:rsid w:val="008304B6"/>
    <w:rsid w:val="008F6F13"/>
    <w:rsid w:val="009C2C1C"/>
    <w:rsid w:val="00A62B52"/>
    <w:rsid w:val="00A71F91"/>
    <w:rsid w:val="00A73C8C"/>
    <w:rsid w:val="00B1554C"/>
    <w:rsid w:val="00B63472"/>
    <w:rsid w:val="00BA30B1"/>
    <w:rsid w:val="00BB5EF1"/>
    <w:rsid w:val="00BC3685"/>
    <w:rsid w:val="00BF0D7C"/>
    <w:rsid w:val="00CA44AE"/>
    <w:rsid w:val="00CE7985"/>
    <w:rsid w:val="00D533B1"/>
    <w:rsid w:val="00DD0EDB"/>
    <w:rsid w:val="00DD21DB"/>
    <w:rsid w:val="00DE2204"/>
    <w:rsid w:val="00DF201A"/>
    <w:rsid w:val="00E36AC9"/>
    <w:rsid w:val="00EA033D"/>
    <w:rsid w:val="00ED2946"/>
    <w:rsid w:val="00F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9A407"/>
  <w14:defaultImageDpi w14:val="0"/>
  <w15:docId w15:val="{BD9B904A-6F47-4C30-B3A1-2ECCA15B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31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6A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AC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1554C"/>
    <w:pPr>
      <w:widowControl w:val="0"/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lardcounty.org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Motor-Vehicles</dc:creator>
  <cp:lastModifiedBy>Jacob Nielson</cp:lastModifiedBy>
  <cp:revision>2</cp:revision>
  <cp:lastPrinted>2020-02-11T19:04:00Z</cp:lastPrinted>
  <dcterms:created xsi:type="dcterms:W3CDTF">2025-08-20T14:54:00Z</dcterms:created>
  <dcterms:modified xsi:type="dcterms:W3CDTF">2025-08-20T14:54:00Z</dcterms:modified>
</cp:coreProperties>
</file>